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bookmarkStart w:id="0" w:name="_GoBack"/>
      <w:bookmarkEnd w:id="0"/>
    </w:p>
    <w:p w:rsidR="004123A7" w:rsidRPr="004123A7" w:rsidRDefault="004123A7" w:rsidP="004123A7">
      <w:pPr>
        <w:spacing w:after="0" w:line="480" w:lineRule="auto"/>
        <w:jc w:val="center"/>
        <w:rPr>
          <w:rFonts w:ascii="Times New Roman" w:hAnsi="Times New Roman" w:cs="Times New Roman"/>
          <w:sz w:val="24"/>
          <w:szCs w:val="24"/>
        </w:rPr>
      </w:pPr>
    </w:p>
    <w:p w:rsidR="004123A7" w:rsidRPr="004123A7" w:rsidRDefault="004123A7" w:rsidP="004123A7">
      <w:pPr>
        <w:spacing w:after="0" w:line="480" w:lineRule="auto"/>
        <w:jc w:val="center"/>
        <w:rPr>
          <w:rFonts w:ascii="Times New Roman" w:hAnsi="Times New Roman" w:cs="Times New Roman"/>
          <w:sz w:val="24"/>
          <w:szCs w:val="24"/>
        </w:rPr>
      </w:pPr>
      <w:r w:rsidRPr="004123A7">
        <w:rPr>
          <w:rFonts w:ascii="Times New Roman" w:hAnsi="Times New Roman" w:cs="Times New Roman"/>
          <w:sz w:val="24"/>
          <w:szCs w:val="24"/>
        </w:rPr>
        <w:t xml:space="preserve">Did </w:t>
      </w:r>
      <w:r w:rsidRPr="004123A7">
        <w:rPr>
          <w:rFonts w:ascii="Times New Roman" w:hAnsi="Times New Roman" w:cs="Times New Roman"/>
          <w:i/>
          <w:sz w:val="24"/>
          <w:szCs w:val="24"/>
        </w:rPr>
        <w:t xml:space="preserve">Brown v. Board of Education of Topeka’s </w:t>
      </w:r>
      <w:r w:rsidRPr="004123A7">
        <w:rPr>
          <w:rFonts w:ascii="Times New Roman" w:hAnsi="Times New Roman" w:cs="Times New Roman"/>
          <w:sz w:val="24"/>
          <w:szCs w:val="24"/>
        </w:rPr>
        <w:t>Decision help the Civil Rights Movement?</w:t>
      </w:r>
    </w:p>
    <w:p w:rsidR="004123A7" w:rsidRPr="004123A7" w:rsidRDefault="004123A7" w:rsidP="004123A7">
      <w:pPr>
        <w:spacing w:after="0" w:line="480" w:lineRule="auto"/>
        <w:jc w:val="center"/>
        <w:rPr>
          <w:rFonts w:ascii="Times New Roman" w:hAnsi="Times New Roman" w:cs="Times New Roman"/>
          <w:sz w:val="24"/>
          <w:szCs w:val="24"/>
        </w:rPr>
      </w:pPr>
      <w:r w:rsidRPr="004123A7">
        <w:rPr>
          <w:rFonts w:ascii="Times New Roman" w:hAnsi="Times New Roman" w:cs="Times New Roman"/>
          <w:sz w:val="24"/>
          <w:szCs w:val="24"/>
        </w:rPr>
        <w:t>Student’s Name</w:t>
      </w:r>
    </w:p>
    <w:p w:rsidR="004123A7" w:rsidRPr="004123A7" w:rsidRDefault="004123A7" w:rsidP="004123A7">
      <w:pPr>
        <w:spacing w:after="0" w:line="480" w:lineRule="auto"/>
        <w:jc w:val="center"/>
        <w:rPr>
          <w:rFonts w:ascii="Times New Roman" w:hAnsi="Times New Roman" w:cs="Times New Roman"/>
          <w:sz w:val="24"/>
          <w:szCs w:val="24"/>
        </w:rPr>
      </w:pPr>
      <w:r w:rsidRPr="004123A7">
        <w:rPr>
          <w:rFonts w:ascii="Times New Roman" w:hAnsi="Times New Roman" w:cs="Times New Roman"/>
          <w:sz w:val="24"/>
          <w:szCs w:val="24"/>
        </w:rPr>
        <w:t>Institutional Affiliation</w:t>
      </w:r>
    </w:p>
    <w:p w:rsidR="004123A7" w:rsidRPr="004123A7" w:rsidRDefault="004123A7" w:rsidP="004123A7">
      <w:pPr>
        <w:spacing w:after="0" w:line="480" w:lineRule="auto"/>
        <w:jc w:val="center"/>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rPr>
          <w:rFonts w:ascii="Times New Roman" w:hAnsi="Times New Roman" w:cs="Times New Roman"/>
          <w:sz w:val="24"/>
          <w:szCs w:val="24"/>
        </w:rPr>
      </w:pPr>
    </w:p>
    <w:p w:rsidR="004123A7" w:rsidRPr="004123A7" w:rsidRDefault="004123A7" w:rsidP="004123A7">
      <w:pPr>
        <w:spacing w:after="0" w:line="480" w:lineRule="auto"/>
        <w:jc w:val="center"/>
        <w:rPr>
          <w:rFonts w:ascii="Times New Roman" w:hAnsi="Times New Roman" w:cs="Times New Roman"/>
          <w:sz w:val="24"/>
          <w:szCs w:val="24"/>
        </w:rPr>
      </w:pPr>
      <w:r w:rsidRPr="004123A7">
        <w:rPr>
          <w:rFonts w:ascii="Times New Roman" w:hAnsi="Times New Roman" w:cs="Times New Roman"/>
          <w:sz w:val="24"/>
          <w:szCs w:val="24"/>
        </w:rPr>
        <w:lastRenderedPageBreak/>
        <w:t xml:space="preserve">Did </w:t>
      </w:r>
      <w:r w:rsidRPr="004123A7">
        <w:rPr>
          <w:rFonts w:ascii="Times New Roman" w:hAnsi="Times New Roman" w:cs="Times New Roman"/>
          <w:i/>
          <w:sz w:val="24"/>
          <w:szCs w:val="24"/>
        </w:rPr>
        <w:t xml:space="preserve">Brown v. Board of Education of Topeka’s </w:t>
      </w:r>
      <w:r w:rsidRPr="004123A7">
        <w:rPr>
          <w:rFonts w:ascii="Times New Roman" w:hAnsi="Times New Roman" w:cs="Times New Roman"/>
          <w:sz w:val="24"/>
          <w:szCs w:val="24"/>
        </w:rPr>
        <w:t>Decision help the Civil Rights Movement?</w:t>
      </w:r>
    </w:p>
    <w:p w:rsidR="004123A7" w:rsidRPr="004123A7" w:rsidRDefault="004123A7" w:rsidP="004123A7">
      <w:pPr>
        <w:spacing w:after="0" w:line="480" w:lineRule="auto"/>
        <w:ind w:firstLine="720"/>
        <w:rPr>
          <w:rFonts w:ascii="Times New Roman" w:hAnsi="Times New Roman" w:cs="Times New Roman"/>
          <w:sz w:val="24"/>
          <w:szCs w:val="24"/>
        </w:rPr>
      </w:pPr>
      <w:r w:rsidRPr="004123A7">
        <w:rPr>
          <w:rFonts w:ascii="Times New Roman" w:hAnsi="Times New Roman" w:cs="Times New Roman"/>
          <w:sz w:val="24"/>
          <w:szCs w:val="24"/>
        </w:rPr>
        <w:t>Despite different constitutional changes and amendments that aimed at ending the segregations that the minority racial groups were going through after independence, it was difficult to implement these changes because years later the minority groups like African Americans were still going through the discriminations and segregation that were meant to be reduced through the constitutional changes. However, the struggle to end social injustices did not end there as many civil rights movements and activism emerged later that changed the face of civil rights struggle in the United States, especially in the Southern states where racial segregation was intense. These civil rights contributed significantly in the movement and transformation of the United States’ civil rights protection by promoting the nascent civil rights movement, backing up the enforcement of justice department, and also setting a legal precedent that would later be used to overturn policies that supported segregation in the public places.</w:t>
      </w:r>
    </w:p>
    <w:p w:rsidR="004123A7" w:rsidRPr="004123A7" w:rsidRDefault="004123A7" w:rsidP="004123A7">
      <w:pPr>
        <w:spacing w:after="0" w:line="480" w:lineRule="auto"/>
        <w:ind w:firstLine="720"/>
        <w:rPr>
          <w:rFonts w:ascii="Times New Roman" w:hAnsi="Times New Roman" w:cs="Times New Roman"/>
          <w:sz w:val="24"/>
          <w:szCs w:val="24"/>
        </w:rPr>
      </w:pPr>
      <w:r w:rsidRPr="004123A7">
        <w:rPr>
          <w:rFonts w:ascii="Times New Roman" w:hAnsi="Times New Roman" w:cs="Times New Roman"/>
          <w:sz w:val="24"/>
          <w:szCs w:val="24"/>
        </w:rPr>
        <w:t xml:space="preserve">First, I would support that the court case </w:t>
      </w:r>
      <w:r w:rsidRPr="004123A7">
        <w:rPr>
          <w:rFonts w:ascii="Times New Roman" w:hAnsi="Times New Roman" w:cs="Times New Roman"/>
          <w:i/>
          <w:sz w:val="24"/>
          <w:szCs w:val="24"/>
        </w:rPr>
        <w:t>Brown v. Board of Education</w:t>
      </w:r>
      <w:r w:rsidRPr="004123A7">
        <w:rPr>
          <w:rFonts w:ascii="Times New Roman" w:hAnsi="Times New Roman" w:cs="Times New Roman"/>
          <w:sz w:val="24"/>
          <w:szCs w:val="24"/>
        </w:rPr>
        <w:t xml:space="preserve"> helped the civil rights movement by promoting the nascent civil rights movement.  </w:t>
      </w:r>
      <w:r w:rsidR="00B336DF">
        <w:rPr>
          <w:rFonts w:ascii="Times New Roman" w:hAnsi="Times New Roman" w:cs="Times New Roman"/>
          <w:sz w:val="24"/>
          <w:szCs w:val="24"/>
        </w:rPr>
        <w:t xml:space="preserve">Civil rights movement lifted the voices of oppressed for over fifty years. </w:t>
      </w:r>
      <w:r w:rsidRPr="004123A7">
        <w:rPr>
          <w:rFonts w:ascii="Times New Roman" w:hAnsi="Times New Roman" w:cs="Times New Roman"/>
          <w:sz w:val="24"/>
          <w:szCs w:val="24"/>
        </w:rPr>
        <w:t>Even though the court’s ruling received steadfast resistance from the South, but it helped in promoting the civil rights movement in the region that was previously known to have policies and laws that enforced segregation (Ackerman, 2002). The decision resulted in massive resistance to the South that made President Eisenhower send in federal troops to enforce the desegregation order in Arkansas (Ackerman, 2002).</w:t>
      </w:r>
    </w:p>
    <w:p w:rsidR="004123A7" w:rsidRPr="004123A7" w:rsidRDefault="004123A7" w:rsidP="004123A7">
      <w:pPr>
        <w:spacing w:after="0" w:line="480" w:lineRule="auto"/>
        <w:ind w:firstLine="720"/>
        <w:rPr>
          <w:rFonts w:ascii="Times New Roman" w:hAnsi="Times New Roman" w:cs="Times New Roman"/>
          <w:sz w:val="24"/>
          <w:szCs w:val="24"/>
        </w:rPr>
      </w:pPr>
      <w:r w:rsidRPr="004123A7">
        <w:rPr>
          <w:rFonts w:ascii="Times New Roman" w:hAnsi="Times New Roman" w:cs="Times New Roman"/>
          <w:sz w:val="24"/>
          <w:szCs w:val="24"/>
        </w:rPr>
        <w:t>Secondly, this court case helped in backing up the enforcement of the justice department. According to Ackerman (2002), the basic ideas of America and its people are good even though sometimes these ideals are stained by unjustly acts that are perpetrated by individuals who think that they are acting i</w:t>
      </w:r>
      <w:r w:rsidR="00B336DF">
        <w:rPr>
          <w:rFonts w:ascii="Times New Roman" w:hAnsi="Times New Roman" w:cs="Times New Roman"/>
          <w:sz w:val="24"/>
          <w:szCs w:val="24"/>
        </w:rPr>
        <w:t xml:space="preserve">n the name of the Constitution. </w:t>
      </w:r>
      <w:r w:rsidRPr="004123A7">
        <w:rPr>
          <w:rFonts w:ascii="Times New Roman" w:hAnsi="Times New Roman" w:cs="Times New Roman"/>
          <w:sz w:val="24"/>
          <w:szCs w:val="24"/>
        </w:rPr>
        <w:t xml:space="preserve">The basic ideas of the Constitution that </w:t>
      </w:r>
      <w:r w:rsidRPr="004123A7">
        <w:rPr>
          <w:rFonts w:ascii="Times New Roman" w:hAnsi="Times New Roman" w:cs="Times New Roman"/>
          <w:sz w:val="24"/>
          <w:szCs w:val="24"/>
        </w:rPr>
        <w:lastRenderedPageBreak/>
        <w:t xml:space="preserve">commit to liberty and equality were upheld with the ruling of </w:t>
      </w:r>
      <w:r w:rsidRPr="004123A7">
        <w:rPr>
          <w:rFonts w:ascii="Times New Roman" w:hAnsi="Times New Roman" w:cs="Times New Roman"/>
          <w:i/>
          <w:sz w:val="24"/>
          <w:szCs w:val="24"/>
        </w:rPr>
        <w:t>Brown v. Board of Education</w:t>
      </w:r>
      <w:r w:rsidRPr="004123A7">
        <w:rPr>
          <w:rFonts w:ascii="Times New Roman" w:hAnsi="Times New Roman" w:cs="Times New Roman"/>
          <w:sz w:val="24"/>
          <w:szCs w:val="24"/>
        </w:rPr>
        <w:t xml:space="preserve"> by unanimously agreeing that racial segregation of children in public schools was unconstitutional (Jackson &amp; Jackson, 2005). </w:t>
      </w:r>
      <w:r w:rsidR="00B336DF">
        <w:rPr>
          <w:rFonts w:ascii="Times New Roman" w:hAnsi="Times New Roman" w:cs="Times New Roman"/>
          <w:sz w:val="24"/>
          <w:szCs w:val="24"/>
        </w:rPr>
        <w:t xml:space="preserve">This court case was a warning the effects of unjustly acts. It brought back the greatness of </w:t>
      </w:r>
      <w:r w:rsidR="00B336DF" w:rsidRPr="00B336DF">
        <w:rPr>
          <w:rFonts w:ascii="Times New Roman" w:hAnsi="Times New Roman" w:cs="Times New Roman"/>
          <w:sz w:val="24"/>
          <w:szCs w:val="24"/>
          <w:u w:val="single"/>
        </w:rPr>
        <w:t>A</w:t>
      </w:r>
      <w:r w:rsidR="00B336DF">
        <w:rPr>
          <w:rFonts w:ascii="Times New Roman" w:hAnsi="Times New Roman" w:cs="Times New Roman"/>
          <w:sz w:val="24"/>
          <w:szCs w:val="24"/>
        </w:rPr>
        <w:t xml:space="preserve">merica again, and indeed, </w:t>
      </w:r>
      <w:r w:rsidR="00B336DF" w:rsidRPr="00B336DF">
        <w:rPr>
          <w:rFonts w:ascii="Times New Roman" w:hAnsi="Times New Roman" w:cs="Times New Roman"/>
          <w:sz w:val="24"/>
          <w:szCs w:val="24"/>
          <w:u w:val="single"/>
        </w:rPr>
        <w:t>A</w:t>
      </w:r>
      <w:r w:rsidR="00B336DF">
        <w:rPr>
          <w:rFonts w:ascii="Times New Roman" w:hAnsi="Times New Roman" w:cs="Times New Roman"/>
          <w:sz w:val="24"/>
          <w:szCs w:val="24"/>
        </w:rPr>
        <w:t xml:space="preserve">merica was </w:t>
      </w:r>
      <w:r w:rsidR="00B336DF" w:rsidRPr="00B336DF">
        <w:rPr>
          <w:rFonts w:ascii="Times New Roman" w:hAnsi="Times New Roman" w:cs="Times New Roman"/>
          <w:sz w:val="24"/>
          <w:szCs w:val="24"/>
          <w:u w:val="single"/>
        </w:rPr>
        <w:t>A</w:t>
      </w:r>
      <w:r w:rsidR="00B336DF">
        <w:rPr>
          <w:rFonts w:ascii="Times New Roman" w:hAnsi="Times New Roman" w:cs="Times New Roman"/>
          <w:sz w:val="24"/>
          <w:szCs w:val="24"/>
        </w:rPr>
        <w:t xml:space="preserve">merica again (rhyme). One could wonder what happened to the </w:t>
      </w:r>
      <w:r w:rsidR="00B336DF" w:rsidRPr="00B336DF">
        <w:rPr>
          <w:rFonts w:ascii="Times New Roman" w:hAnsi="Times New Roman" w:cs="Times New Roman"/>
          <w:sz w:val="24"/>
          <w:szCs w:val="24"/>
          <w:u w:val="single"/>
        </w:rPr>
        <w:t>d</w:t>
      </w:r>
      <w:r w:rsidR="00B336DF">
        <w:rPr>
          <w:rFonts w:ascii="Times New Roman" w:hAnsi="Times New Roman" w:cs="Times New Roman"/>
          <w:sz w:val="24"/>
          <w:szCs w:val="24"/>
        </w:rPr>
        <w:t xml:space="preserve">ream </w:t>
      </w:r>
      <w:r w:rsidR="00B336DF" w:rsidRPr="00B336DF">
        <w:rPr>
          <w:rFonts w:ascii="Times New Roman" w:hAnsi="Times New Roman" w:cs="Times New Roman"/>
          <w:sz w:val="24"/>
          <w:szCs w:val="24"/>
          <w:u w:val="single"/>
        </w:rPr>
        <w:t>d</w:t>
      </w:r>
      <w:r w:rsidR="00B336DF">
        <w:rPr>
          <w:rFonts w:ascii="Times New Roman" w:hAnsi="Times New Roman" w:cs="Times New Roman"/>
          <w:sz w:val="24"/>
          <w:szCs w:val="24"/>
        </w:rPr>
        <w:t xml:space="preserve">eferred (rhyme). </w:t>
      </w:r>
      <w:r w:rsidRPr="004123A7">
        <w:rPr>
          <w:rFonts w:ascii="Times New Roman" w:hAnsi="Times New Roman" w:cs="Times New Roman"/>
          <w:sz w:val="24"/>
          <w:szCs w:val="24"/>
        </w:rPr>
        <w:t>Some other policies that were passed later, including the Civil Rights Acts of 1964 and the Voting Rights Act of 1965, were a result of this court’s decision that backed the process of desegregation across the United States.</w:t>
      </w:r>
    </w:p>
    <w:p w:rsidR="004123A7" w:rsidRPr="004123A7" w:rsidRDefault="004123A7" w:rsidP="004123A7">
      <w:pPr>
        <w:spacing w:after="0" w:line="480" w:lineRule="auto"/>
        <w:ind w:firstLine="720"/>
        <w:rPr>
          <w:rFonts w:ascii="Times New Roman" w:hAnsi="Times New Roman" w:cs="Times New Roman"/>
          <w:sz w:val="24"/>
          <w:szCs w:val="24"/>
        </w:rPr>
      </w:pPr>
      <w:r w:rsidRPr="004123A7">
        <w:rPr>
          <w:rFonts w:ascii="Times New Roman" w:hAnsi="Times New Roman" w:cs="Times New Roman"/>
          <w:sz w:val="24"/>
          <w:szCs w:val="24"/>
        </w:rPr>
        <w:t xml:space="preserve">Finally, this court case also helped the civil rights movement by setting a legal precedent that would later be used to overturn policies that supported segregation in public places. According to Walker (2009), civil rights movement activists in the South used </w:t>
      </w:r>
      <w:r w:rsidRPr="004123A7">
        <w:rPr>
          <w:rFonts w:ascii="Times New Roman" w:hAnsi="Times New Roman" w:cs="Times New Roman"/>
          <w:i/>
          <w:sz w:val="24"/>
          <w:szCs w:val="24"/>
        </w:rPr>
        <w:t>Brown v. Board of Education</w:t>
      </w:r>
      <w:r w:rsidRPr="004123A7">
        <w:rPr>
          <w:rFonts w:ascii="Times New Roman" w:hAnsi="Times New Roman" w:cs="Times New Roman"/>
          <w:sz w:val="24"/>
          <w:szCs w:val="24"/>
        </w:rPr>
        <w:t xml:space="preserve"> to promote civil rights activism despite receiving opposition from the laws that were created by Jim Crow laws. Many of the civil rights activism events that took place in the South were propelled by the court’s decision to uphold the constitutional provisions of civil liberties. </w:t>
      </w:r>
      <w:r w:rsidR="00B336DF">
        <w:rPr>
          <w:rFonts w:ascii="Times New Roman" w:hAnsi="Times New Roman" w:cs="Times New Roman"/>
          <w:sz w:val="24"/>
          <w:szCs w:val="24"/>
        </w:rPr>
        <w:t xml:space="preserve">Everything was done for justice and for love. The challenges that civil rights activists went through were </w:t>
      </w:r>
      <w:r w:rsidR="00B336DF" w:rsidRPr="00B336DF">
        <w:rPr>
          <w:rFonts w:ascii="Times New Roman" w:hAnsi="Times New Roman" w:cs="Times New Roman"/>
          <w:sz w:val="24"/>
          <w:szCs w:val="24"/>
          <w:u w:val="single"/>
        </w:rPr>
        <w:t>l</w:t>
      </w:r>
      <w:r w:rsidR="00B336DF">
        <w:rPr>
          <w:rFonts w:ascii="Times New Roman" w:hAnsi="Times New Roman" w:cs="Times New Roman"/>
          <w:sz w:val="24"/>
          <w:szCs w:val="24"/>
        </w:rPr>
        <w:t xml:space="preserve">ittle rock and it took </w:t>
      </w:r>
      <w:r w:rsidR="00B336DF" w:rsidRPr="00B336DF">
        <w:rPr>
          <w:rFonts w:ascii="Times New Roman" w:hAnsi="Times New Roman" w:cs="Times New Roman"/>
          <w:sz w:val="24"/>
          <w:szCs w:val="24"/>
          <w:u w:val="single"/>
        </w:rPr>
        <w:t>l</w:t>
      </w:r>
      <w:r w:rsidR="00B336DF">
        <w:rPr>
          <w:rFonts w:ascii="Times New Roman" w:hAnsi="Times New Roman" w:cs="Times New Roman"/>
          <w:sz w:val="24"/>
          <w:szCs w:val="24"/>
        </w:rPr>
        <w:t xml:space="preserve">ittle time before they could overcome them (rhyme). </w:t>
      </w:r>
      <w:r w:rsidRPr="004123A7">
        <w:rPr>
          <w:rFonts w:ascii="Times New Roman" w:hAnsi="Times New Roman" w:cs="Times New Roman"/>
          <w:sz w:val="24"/>
          <w:szCs w:val="24"/>
        </w:rPr>
        <w:t>For instance, in 1955, Rosa Parks refused to give up her seat on a Montgomery bus, and her arrest sparked a boycott of Montgomery buses, which led to other boycotts and demonstrations. These demonstrations created a new wave of civil rights movement that was led by great activists like Martin Luther King Jr.</w:t>
      </w:r>
    </w:p>
    <w:p w:rsidR="004123A7" w:rsidRPr="004123A7" w:rsidRDefault="004123A7" w:rsidP="00B336DF">
      <w:pPr>
        <w:spacing w:after="0" w:line="480" w:lineRule="auto"/>
        <w:ind w:firstLine="720"/>
        <w:rPr>
          <w:rFonts w:ascii="Times New Roman" w:hAnsi="Times New Roman" w:cs="Times New Roman"/>
          <w:sz w:val="24"/>
          <w:szCs w:val="24"/>
        </w:rPr>
      </w:pPr>
      <w:r w:rsidRPr="004123A7">
        <w:rPr>
          <w:rFonts w:ascii="Times New Roman" w:hAnsi="Times New Roman" w:cs="Times New Roman"/>
          <w:sz w:val="24"/>
          <w:szCs w:val="24"/>
        </w:rPr>
        <w:t xml:space="preserve">In summary, I believe that </w:t>
      </w:r>
      <w:r w:rsidRPr="004123A7">
        <w:rPr>
          <w:rFonts w:ascii="Times New Roman" w:hAnsi="Times New Roman" w:cs="Times New Roman"/>
          <w:i/>
          <w:sz w:val="24"/>
          <w:szCs w:val="24"/>
        </w:rPr>
        <w:t>Brown v. Board of Education of Topeka</w:t>
      </w:r>
      <w:r w:rsidRPr="004123A7">
        <w:rPr>
          <w:rFonts w:ascii="Times New Roman" w:hAnsi="Times New Roman" w:cs="Times New Roman"/>
          <w:sz w:val="24"/>
          <w:szCs w:val="24"/>
        </w:rPr>
        <w:t xml:space="preserve"> played a critical role in enhancing civil rights movement activities in the United States, especially in the South where segregation against the African Americans and other minority races lasted for long due to continued enforcement </w:t>
      </w:r>
      <w:r w:rsidR="00B336DF">
        <w:rPr>
          <w:rFonts w:ascii="Times New Roman" w:hAnsi="Times New Roman" w:cs="Times New Roman"/>
          <w:sz w:val="24"/>
          <w:szCs w:val="24"/>
        </w:rPr>
        <w:t>of segregation laws of Jim Crow.</w:t>
      </w:r>
    </w:p>
    <w:p w:rsidR="00CC54F7" w:rsidRPr="004123A7" w:rsidRDefault="00CC54F7" w:rsidP="004123A7">
      <w:pPr>
        <w:spacing w:after="0" w:line="480" w:lineRule="auto"/>
        <w:jc w:val="center"/>
        <w:rPr>
          <w:rFonts w:ascii="Times New Roman" w:hAnsi="Times New Roman" w:cs="Times New Roman"/>
          <w:sz w:val="24"/>
          <w:szCs w:val="24"/>
        </w:rPr>
      </w:pPr>
      <w:r w:rsidRPr="004123A7">
        <w:rPr>
          <w:rFonts w:ascii="Times New Roman" w:hAnsi="Times New Roman" w:cs="Times New Roman"/>
          <w:sz w:val="24"/>
          <w:szCs w:val="24"/>
        </w:rPr>
        <w:lastRenderedPageBreak/>
        <w:t>References</w:t>
      </w:r>
    </w:p>
    <w:p w:rsidR="004123A7" w:rsidRPr="004123A7" w:rsidRDefault="004123A7" w:rsidP="004123A7">
      <w:pPr>
        <w:spacing w:after="0" w:line="480" w:lineRule="auto"/>
        <w:ind w:left="720" w:hanging="720"/>
        <w:rPr>
          <w:rFonts w:ascii="Times New Roman" w:hAnsi="Times New Roman" w:cs="Times New Roman"/>
          <w:sz w:val="24"/>
          <w:szCs w:val="24"/>
          <w:shd w:val="clear" w:color="auto" w:fill="FFFFFF"/>
        </w:rPr>
      </w:pPr>
      <w:r w:rsidRPr="004123A7">
        <w:rPr>
          <w:rFonts w:ascii="Times New Roman" w:hAnsi="Times New Roman" w:cs="Times New Roman"/>
          <w:sz w:val="24"/>
          <w:szCs w:val="24"/>
          <w:shd w:val="clear" w:color="auto" w:fill="FFFFFF"/>
        </w:rPr>
        <w:t>Ackerman, B. A. (2002). </w:t>
      </w:r>
      <w:r w:rsidRPr="004123A7">
        <w:rPr>
          <w:rFonts w:ascii="Times New Roman" w:hAnsi="Times New Roman" w:cs="Times New Roman"/>
          <w:i/>
          <w:iCs/>
          <w:sz w:val="24"/>
          <w:szCs w:val="24"/>
          <w:shd w:val="clear" w:color="auto" w:fill="FFFFFF"/>
        </w:rPr>
        <w:t>What Brown v. Board of Education should have said: The nation's top legal experts rewrite America's landmark civil rights decision</w:t>
      </w:r>
      <w:r w:rsidRPr="004123A7">
        <w:rPr>
          <w:rFonts w:ascii="Times New Roman" w:hAnsi="Times New Roman" w:cs="Times New Roman"/>
          <w:sz w:val="24"/>
          <w:szCs w:val="24"/>
          <w:shd w:val="clear" w:color="auto" w:fill="FFFFFF"/>
        </w:rPr>
        <w:t>. NYU Press.</w:t>
      </w:r>
    </w:p>
    <w:p w:rsidR="004123A7" w:rsidRPr="004123A7" w:rsidRDefault="004123A7" w:rsidP="004123A7">
      <w:pPr>
        <w:spacing w:after="0" w:line="480" w:lineRule="auto"/>
        <w:ind w:left="720" w:hanging="720"/>
        <w:rPr>
          <w:rFonts w:ascii="Times New Roman" w:hAnsi="Times New Roman" w:cs="Times New Roman"/>
          <w:sz w:val="24"/>
          <w:szCs w:val="24"/>
          <w:shd w:val="clear" w:color="auto" w:fill="FFFFFF"/>
        </w:rPr>
      </w:pPr>
      <w:r w:rsidRPr="004123A7">
        <w:rPr>
          <w:rFonts w:ascii="Times New Roman" w:hAnsi="Times New Roman" w:cs="Times New Roman"/>
          <w:sz w:val="24"/>
          <w:szCs w:val="24"/>
          <w:shd w:val="clear" w:color="auto" w:fill="FFFFFF"/>
        </w:rPr>
        <w:t>Jackson Jr, J. P., &amp; Jackson, J. P. (2005). </w:t>
      </w:r>
      <w:r w:rsidRPr="004123A7">
        <w:rPr>
          <w:rFonts w:ascii="Times New Roman" w:hAnsi="Times New Roman" w:cs="Times New Roman"/>
          <w:i/>
          <w:iCs/>
          <w:sz w:val="24"/>
          <w:szCs w:val="24"/>
          <w:shd w:val="clear" w:color="auto" w:fill="FFFFFF"/>
        </w:rPr>
        <w:t>Science for segregation: Race, law, and the case against Brown v. Board of Education</w:t>
      </w:r>
      <w:r w:rsidRPr="004123A7">
        <w:rPr>
          <w:rFonts w:ascii="Times New Roman" w:hAnsi="Times New Roman" w:cs="Times New Roman"/>
          <w:sz w:val="24"/>
          <w:szCs w:val="24"/>
          <w:shd w:val="clear" w:color="auto" w:fill="FFFFFF"/>
        </w:rPr>
        <w:t> (Vol. 2). NYU Press.</w:t>
      </w:r>
    </w:p>
    <w:p w:rsidR="004123A7" w:rsidRPr="004123A7" w:rsidRDefault="004123A7" w:rsidP="004123A7">
      <w:pPr>
        <w:spacing w:after="0" w:line="480" w:lineRule="auto"/>
        <w:ind w:left="720" w:hanging="720"/>
        <w:rPr>
          <w:rFonts w:ascii="Times New Roman" w:hAnsi="Times New Roman" w:cs="Times New Roman"/>
          <w:sz w:val="24"/>
          <w:szCs w:val="24"/>
        </w:rPr>
      </w:pPr>
      <w:r w:rsidRPr="004123A7">
        <w:rPr>
          <w:rFonts w:ascii="Times New Roman" w:hAnsi="Times New Roman" w:cs="Times New Roman"/>
          <w:sz w:val="24"/>
          <w:szCs w:val="24"/>
          <w:shd w:val="clear" w:color="auto" w:fill="FFFFFF"/>
        </w:rPr>
        <w:t>Walker, A. (2009). </w:t>
      </w:r>
      <w:r w:rsidRPr="004123A7">
        <w:rPr>
          <w:rFonts w:ascii="Times New Roman" w:hAnsi="Times New Roman" w:cs="Times New Roman"/>
          <w:i/>
          <w:iCs/>
          <w:sz w:val="24"/>
          <w:szCs w:val="24"/>
          <w:shd w:val="clear" w:color="auto" w:fill="FFFFFF"/>
        </w:rPr>
        <w:t>The Ghost of Jim Crow: How Southern Moderates Used Brown v. Board of Education to Stall Civil Rights</w:t>
      </w:r>
      <w:r w:rsidRPr="004123A7">
        <w:rPr>
          <w:rFonts w:ascii="Times New Roman" w:hAnsi="Times New Roman" w:cs="Times New Roman"/>
          <w:sz w:val="24"/>
          <w:szCs w:val="24"/>
          <w:shd w:val="clear" w:color="auto" w:fill="FFFFFF"/>
        </w:rPr>
        <w:t>. Oxford University Press.</w:t>
      </w:r>
    </w:p>
    <w:p w:rsidR="00CC54F7" w:rsidRPr="004123A7" w:rsidRDefault="00CC54F7" w:rsidP="004123A7">
      <w:pPr>
        <w:spacing w:after="0" w:line="480" w:lineRule="auto"/>
        <w:rPr>
          <w:rFonts w:ascii="Times New Roman" w:hAnsi="Times New Roman" w:cs="Times New Roman"/>
          <w:sz w:val="24"/>
          <w:szCs w:val="24"/>
        </w:rPr>
      </w:pPr>
    </w:p>
    <w:sectPr w:rsidR="00CC54F7" w:rsidRPr="004123A7" w:rsidSect="004123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FA5" w:rsidRDefault="00E45FA5" w:rsidP="004123A7">
      <w:pPr>
        <w:spacing w:after="0" w:line="240" w:lineRule="auto"/>
      </w:pPr>
      <w:r>
        <w:separator/>
      </w:r>
    </w:p>
  </w:endnote>
  <w:endnote w:type="continuationSeparator" w:id="0">
    <w:p w:rsidR="00E45FA5" w:rsidRDefault="00E45FA5" w:rsidP="00412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FA5" w:rsidRDefault="00E45FA5" w:rsidP="004123A7">
      <w:pPr>
        <w:spacing w:after="0" w:line="240" w:lineRule="auto"/>
      </w:pPr>
      <w:r>
        <w:separator/>
      </w:r>
    </w:p>
  </w:footnote>
  <w:footnote w:type="continuationSeparator" w:id="0">
    <w:p w:rsidR="00E45FA5" w:rsidRDefault="00E45FA5" w:rsidP="004123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3A7" w:rsidRDefault="004123A7">
    <w:pPr>
      <w:pStyle w:val="Header"/>
    </w:pPr>
    <w:r w:rsidRPr="004123A7">
      <w:rPr>
        <w:rFonts w:ascii="Times New Roman" w:hAnsi="Times New Roman" w:cs="Times New Roman"/>
        <w:sz w:val="24"/>
        <w:szCs w:val="24"/>
      </w:rPr>
      <w:t xml:space="preserve">BROWN V. BOARD OF EDUCATION CASE </w:t>
    </w:r>
    <w:r w:rsidRPr="004123A7">
      <w:rPr>
        <w:rFonts w:ascii="Times New Roman" w:hAnsi="Times New Roman" w:cs="Times New Roman"/>
        <w:sz w:val="24"/>
        <w:szCs w:val="24"/>
      </w:rPr>
      <w:tab/>
    </w:r>
    <w:r w:rsidRPr="004123A7">
      <w:rPr>
        <w:rFonts w:ascii="Times New Roman" w:hAnsi="Times New Roman" w:cs="Times New Roman"/>
        <w:sz w:val="24"/>
        <w:szCs w:val="24"/>
      </w:rPr>
      <w:tab/>
    </w:r>
    <w:r w:rsidRPr="004123A7">
      <w:rPr>
        <w:rFonts w:ascii="Times New Roman" w:hAnsi="Times New Roman" w:cs="Times New Roman"/>
        <w:sz w:val="24"/>
        <w:szCs w:val="24"/>
      </w:rPr>
      <w:fldChar w:fldCharType="begin"/>
    </w:r>
    <w:r w:rsidRPr="004123A7">
      <w:rPr>
        <w:rFonts w:ascii="Times New Roman" w:hAnsi="Times New Roman" w:cs="Times New Roman"/>
        <w:sz w:val="24"/>
        <w:szCs w:val="24"/>
      </w:rPr>
      <w:instrText xml:space="preserve"> PAGE   \* MERGEFORMAT </w:instrText>
    </w:r>
    <w:r w:rsidRPr="004123A7">
      <w:rPr>
        <w:rFonts w:ascii="Times New Roman" w:hAnsi="Times New Roman" w:cs="Times New Roman"/>
        <w:sz w:val="24"/>
        <w:szCs w:val="24"/>
      </w:rPr>
      <w:fldChar w:fldCharType="separate"/>
    </w:r>
    <w:r w:rsidR="00466F0A">
      <w:rPr>
        <w:rFonts w:ascii="Times New Roman" w:hAnsi="Times New Roman" w:cs="Times New Roman"/>
        <w:noProof/>
        <w:sz w:val="24"/>
        <w:szCs w:val="24"/>
      </w:rPr>
      <w:t>4</w:t>
    </w:r>
    <w:r w:rsidRPr="004123A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3A7" w:rsidRPr="004123A7" w:rsidRDefault="004123A7">
    <w:pPr>
      <w:pStyle w:val="Header"/>
      <w:rPr>
        <w:rFonts w:ascii="Times New Roman" w:hAnsi="Times New Roman" w:cs="Times New Roman"/>
        <w:sz w:val="24"/>
        <w:szCs w:val="24"/>
      </w:rPr>
    </w:pPr>
    <w:r w:rsidRPr="004123A7">
      <w:rPr>
        <w:rFonts w:ascii="Times New Roman" w:hAnsi="Times New Roman" w:cs="Times New Roman"/>
        <w:sz w:val="24"/>
        <w:szCs w:val="24"/>
      </w:rPr>
      <w:t xml:space="preserve">Running head: BROWN V. BOARD OF EDUCATION CASE </w:t>
    </w:r>
    <w:r w:rsidRPr="004123A7">
      <w:rPr>
        <w:rFonts w:ascii="Times New Roman" w:hAnsi="Times New Roman" w:cs="Times New Roman"/>
        <w:sz w:val="24"/>
        <w:szCs w:val="24"/>
      </w:rPr>
      <w:tab/>
    </w:r>
    <w:r w:rsidRPr="004123A7">
      <w:rPr>
        <w:rFonts w:ascii="Times New Roman" w:hAnsi="Times New Roman" w:cs="Times New Roman"/>
        <w:sz w:val="24"/>
        <w:szCs w:val="24"/>
      </w:rPr>
      <w:tab/>
    </w:r>
    <w:r w:rsidRPr="004123A7">
      <w:rPr>
        <w:rFonts w:ascii="Times New Roman" w:hAnsi="Times New Roman" w:cs="Times New Roman"/>
        <w:sz w:val="24"/>
        <w:szCs w:val="24"/>
      </w:rPr>
      <w:fldChar w:fldCharType="begin"/>
    </w:r>
    <w:r w:rsidRPr="004123A7">
      <w:rPr>
        <w:rFonts w:ascii="Times New Roman" w:hAnsi="Times New Roman" w:cs="Times New Roman"/>
        <w:sz w:val="24"/>
        <w:szCs w:val="24"/>
      </w:rPr>
      <w:instrText xml:space="preserve"> PAGE   \* MERGEFORMAT </w:instrText>
    </w:r>
    <w:r w:rsidRPr="004123A7">
      <w:rPr>
        <w:rFonts w:ascii="Times New Roman" w:hAnsi="Times New Roman" w:cs="Times New Roman"/>
        <w:sz w:val="24"/>
        <w:szCs w:val="24"/>
      </w:rPr>
      <w:fldChar w:fldCharType="separate"/>
    </w:r>
    <w:r w:rsidR="00466F0A">
      <w:rPr>
        <w:rFonts w:ascii="Times New Roman" w:hAnsi="Times New Roman" w:cs="Times New Roman"/>
        <w:noProof/>
        <w:sz w:val="24"/>
        <w:szCs w:val="24"/>
      </w:rPr>
      <w:t>1</w:t>
    </w:r>
    <w:r w:rsidRPr="004123A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E4F"/>
    <w:rsid w:val="0015653E"/>
    <w:rsid w:val="004123A7"/>
    <w:rsid w:val="00466F0A"/>
    <w:rsid w:val="005C0684"/>
    <w:rsid w:val="00B336DF"/>
    <w:rsid w:val="00CC54F7"/>
    <w:rsid w:val="00D60E4F"/>
    <w:rsid w:val="00E45FA5"/>
    <w:rsid w:val="00E71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7ED694-7654-4839-B0F4-90F49C22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3A7"/>
  </w:style>
  <w:style w:type="paragraph" w:styleId="Footer">
    <w:name w:val="footer"/>
    <w:basedOn w:val="Normal"/>
    <w:link w:val="FooterChar"/>
    <w:uiPriority w:val="99"/>
    <w:unhideWhenUsed/>
    <w:rsid w:val="00412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2020-03-05T07:19:00Z</dcterms:created>
  <dcterms:modified xsi:type="dcterms:W3CDTF">2020-03-05T07:19:00Z</dcterms:modified>
</cp:coreProperties>
</file>